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GreenRoot — Candidate dossier</w:t>
      </w:r>
    </w:p>
    <w:p>
      <w:pPr>
        <w:pStyle w:val="Heading1"/>
      </w:pPr>
      <w:r>
        <w:t>Status and purpose</w:t>
      </w:r>
    </w:p>
    <w:p>
      <w:r>
        <w:t>DRAFT — concept-stage team; no registered company. Prepared for an eligibility / pre-incubation discussion, not proof of university admission, company registration, clinical outcomes, partner commitments or funding. Sources reviewed 11 October 2026.</w:t>
      </w:r>
    </w:p>
    <w:p>
      <w:pPr>
        <w:pStyle w:val="Heading1"/>
      </w:pPr>
      <w:r>
        <w:t>1. Project identity and ask</w:t>
      </w:r>
    </w:p>
    <w:p>
      <w:r>
        <w:t>Project: GreenRoot. Applicant / team: [fill]. Country of residence / intended incorporation: [fill]. University affiliation and degree evidence: [unknown — verify]. Target programme / current call / deadline: [fill from official source]. Requested meeting or assistance: [one specific ask].</w:t>
      </w:r>
    </w:p>
    <w:p>
      <w:pPr>
        <w:pStyle w:val="Heading1"/>
      </w:pPr>
      <w:r>
        <w:t>2. Problem, user and payer</w:t>
      </w:r>
    </w:p>
    <w:p>
      <w:r>
        <w:t>Describe the adult target group, work barriers and waste-flow problem without identifying individuals. Distinguish the participant, customer, recycler/offtaker and sponsor/payer. Validate the need with interviews only after informed consent; do not fabricate quotations.</w:t>
      </w:r>
    </w:p>
    <w:p>
      <w:pPr>
        <w:pStyle w:val="Heading1"/>
      </w:pPr>
      <w:r>
        <w:t>3. Proposed GreenRoot model</w:t>
      </w:r>
    </w:p>
    <w:p>
      <w:r>
        <w:t>Voluntary lawful paid green work; independent licensed treatment; recycling revenue may support treatment costs. A separate, research-led material-to-medical-supplies pathway needs licensed manufacture, material/quality testing and regulatory clearance. No therapeutic efficacy or medical-product safety is claimed.</w:t>
      </w:r>
    </w:p>
    <w:p>
      <w:pPr>
        <w:pStyle w:val="Heading1"/>
      </w:pPr>
      <w:r>
        <w:t>4. Technology / R&amp;D hypothesis</w:t>
      </w:r>
    </w:p>
    <w:p>
      <w:r>
        <w:t>Choose and substantiate one genuine technology question: e.g. responsible multilingual employment navigation, privacy-preserving outcome/flow tracking, or licensed circular-material quality research. State the technical uncertainty, novelty versus existing products, test method and success/failure criteria. A static site or social mission alone is not R&amp;D evidence. TRL/THS: [unknown; attach actual evidence].</w:t>
      </w:r>
    </w:p>
    <w:p>
      <w:pPr>
        <w:pStyle w:val="Heading1"/>
      </w:pPr>
      <w:r>
        <w:t>5. Prototype and validation</w:t>
      </w:r>
    </w:p>
    <w:p>
      <w:r>
        <w:t>What exists now: a concept website, a rules-based Raha demo and an institutional-source outreach bank. Record additional real prototypes/results separately. Existing sample impact figures are demo data and must not be submitted as achieved outcomes. Evidence / attachments: [fill].</w:t>
      </w:r>
    </w:p>
    <w:p>
      <w:pPr>
        <w:pStyle w:val="Heading1"/>
      </w:pPr>
      <w:r>
        <w:t>6. Team and academic route</w:t>
      </w:r>
    </w:p>
    <w:p>
      <w:r>
        <w:t>Founder roles, relevant skills, time commitment and missing competencies: [fill]. Proposed mentor/lab/clinical/manufacturing partner: [not agreed unless written evidence]. Student/graduation status, foreign-degree YÖK recognition/equivalence, residence/work permissions: [verify with the actual programme]. Do not attach IDs to the public website.</w:t>
      </w:r>
    </w:p>
    <w:p>
      <w:pPr>
        <w:pStyle w:val="Heading1"/>
      </w:pPr>
      <w:r>
        <w:t>7. Work packages and timetable</w:t>
      </w:r>
    </w:p>
    <w:p>
      <w:r>
        <w:t>Prepare WP1 needs/market validation; WP2 prototype/technical test; WP3 safety and independent ethical/regulatory review; WP4 small pilot and evaluation; WP5 commercial/operational validation. Dates and owners: [fill]. Clinical studies require qualified oversight and applicable ethics/clinical approvals, not a website checkbox.</w:t>
      </w:r>
    </w:p>
    <w:p>
      <w:pPr>
        <w:pStyle w:val="Heading1"/>
      </w:pPr>
      <w:r>
        <w:t>8. Budget and financing route</w:t>
      </w:r>
    </w:p>
    <w:p>
      <w:r>
        <w:t>All costs below are blanks to be quoted, not estimates presented as facts. Identify own contribution, cash-flow timing, approved eligible costs and funding gap. Distinguish grant, equity and repayable support. Do not borrow, form a company or transfer shares merely to meet a deadline.</w:t>
      </w:r>
    </w:p>
    <w:p>
      <w:pPr>
        <w:pStyle w:val="Heading1"/>
      </w:pPr>
      <w:r>
        <w:t>9. Safety, ethics and privacy</w:t>
      </w:r>
    </w:p>
    <w:p>
      <w:r>
        <w:t>Adults only for proposed work; genuine wages/contracts/insurance; non-hazardous waste and professional safety supervision; care independent of work output; appropriate clinical licensing; minimal data and informed consent; separate health/work records. No patient records, identity documents or keys in the public repository or reminder service.</w:t>
      </w:r>
    </w:p>
    <w:p>
      <w:pPr>
        <w:pStyle w:val="Heading1"/>
      </w:pPr>
      <w:r>
        <w:t>10. Application gates</w:t>
      </w:r>
    </w:p>
    <w:p>
      <w:r>
        <w:t>Pre-incubation ≠ technopark tenancy ≠ company incorporation ≠ investment. Check current intake, technology criteria, fees, academic status, previous support, shareholding timing and foreign-founder requirements. For BiGG follow the current agency/PRODİS process; for company grants first verify the legal/company gates. Record actual filing receipts only after submission.</w:t>
      </w:r>
    </w:p>
    <w:p>
      <w:pPr>
        <w:pStyle w:val="Heading1"/>
      </w:pPr>
      <w:r>
        <w:t>11. Contacts and next actions</w:t>
      </w:r>
    </w:p>
    <w:p>
      <w:r>
        <w:t>Choose one route and one named institutional office from the published sources. Edit a recipient-specific introduction. After YOU actually send it, record a +2-day inbox/portal check; if unanswered, consider one later polite follow-up. Stop after a decline. Real email reminders require a configured sender and a verified address.</w:t>
      </w:r>
    </w:p>
    <w:p>
      <w:pPr>
        <w:pStyle w:val="Heading1"/>
      </w:pPr>
      <w:r>
        <w:t>12. Approval before submission</w:t>
      </w:r>
    </w:p>
    <w:p>
      <w:r>
        <w:t>Applicant review: [not completed]. Programme eligibility confirmed by: [not confirmed]. Professional legal/financial/clinical review where needed: [not completed]. Signatures, incorporation, fees and equity agreements: [not authorized].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Work package / cost</w:t>
            </w:r>
          </w:p>
        </w:tc>
        <w:tc>
          <w:tcPr>
            <w:tcW w:type="dxa" w:w="2160"/>
          </w:tcPr>
          <w:p>
            <w:r>
              <w:t>Quote basis</w:t>
            </w:r>
          </w:p>
        </w:tc>
        <w:tc>
          <w:tcPr>
            <w:tcW w:type="dxa" w:w="2160"/>
          </w:tcPr>
          <w:p>
            <w:r>
              <w:t>Amount / currency</w:t>
            </w:r>
          </w:p>
        </w:tc>
        <w:tc>
          <w:tcPr>
            <w:tcW w:type="dxa" w:w="2160"/>
          </w:tcPr>
          <w:p>
            <w:r>
              <w:t>Eligible? / own contribution</w:t>
            </w:r>
          </w:p>
        </w:tc>
      </w:tr>
      <w:tr>
        <w:tc>
          <w:tcPr>
            <w:tcW w:type="dxa" w:w="2160"/>
          </w:tcPr>
          <w:p>
            <w:r>
              <w:t>Research / prototype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</w:tr>
      <w:tr>
        <w:tc>
          <w:tcPr>
            <w:tcW w:type="dxa" w:w="2160"/>
          </w:tcPr>
          <w:p>
            <w:r>
              <w:t>Safety / insurance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</w:tr>
      <w:tr>
        <w:tc>
          <w:tcPr>
            <w:tcW w:type="dxa" w:w="2160"/>
          </w:tcPr>
          <w:p>
            <w:r>
              <w:t>Licensed partner / quality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</w:tr>
      <w:tr>
        <w:tc>
          <w:tcPr>
            <w:tcW w:type="dxa" w:w="2160"/>
          </w:tcPr>
          <w:p>
            <w:r>
              <w:t>Personnel / real wages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</w:tr>
      <w:tr>
        <w:tc>
          <w:tcPr>
            <w:tcW w:type="dxa" w:w="2160"/>
          </w:tcPr>
          <w:p>
            <w:r>
              <w:t>Legal / application fee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  <w:tc>
          <w:tcPr>
            <w:tcW w:type="dxa" w:w="2160"/>
          </w:tcPr>
          <w:p>
            <w:r>
              <w:t>[fill]</w:t>
            </w:r>
          </w:p>
        </w:tc>
      </w:tr>
    </w:tbl>
    <w:p>
      <w:pPr>
        <w:pStyle w:val="Heading1"/>
      </w:pPr>
      <w:r>
        <w:t>Source-backed routes (verify current rules)</w:t>
      </w:r>
    </w:p>
    <w:p>
      <w:r>
        <w:t>İTÜ Çekirdek — BiGG 2027-1 intake</w:t>
        <w:br/>
        <w:t>First ask about idea-stage eligibility and the current acceleration intake. This is the implementing agency's Phase 1 intake, not a direct TÜBİTAK Phase 2 award. Educational evidence, previous-support and shareholding checks remain essential.</w:t>
        <w:br/>
        <w:t>https://basvuru.itucekirdek.com/tr/discover/3/bigg</w:t>
      </w:r>
    </w:p>
    <w:p>
      <w:r>
        <w:t>İTÜ Çekirdek — Climate &amp; Clean Technologies 2027</w:t>
        <w:br/>
        <w:t>Explore incubation for a testable circular-economy or responsible-software technology project. The linked programme listing gives a 3 January 2027 deadline; confirm the specific form and cohort requirements. Social impact alone does not prove technological novelty.</w:t>
        <w:br/>
        <w:t>https://basvuru.itucekirdek.com/tr/basvurular</w:t>
      </w:r>
    </w:p>
    <w:p>
      <w:r>
        <w:t>Boğaziçi University — Technology Transfer Office</w:t>
        <w:br/>
        <w:t>Use the published entrepreneurship-office contact to request an eligibility meeting, a research mentor or the appropriate incubation route. Acceptance of external teams and any university-affiliation requirement must be confirmed; the contact page is not an open funding call.</w:t>
        <w:br/>
        <w:t>https://tto.boun.edu.tr/tr/content/iletisim-ulasim</w:t>
      </w:r>
    </w:p>
    <w:p>
      <w:r>
        <w:t>YTU Startup House — Yıldız Teknopark</w:t>
        <w:br/>
        <w:t>The official page describes academic incubation, pre-incubation and incubation. Ask for the current pre-incubation route for an unincorporated team. General technopark tenancy/application forms are a different process; current fees, terms and eligibility need confirmation.</w:t>
        <w:br/>
        <w:t>https://www.yildizteknopark.com.tr/yildizli-markalarimiz/ytu-startup-house.html</w:t>
      </w:r>
    </w:p>
    <w:p>
      <w:r>
        <w:t>Teknopark İstanbul — Cube Incubation</w:t>
        <w:br/>
        <w:t>The official technopark page points entrepreneurs to Cube Incubation, separately from office-allocation approval and lease signing. Confirm the live incubator intake, technical focus and terms. Do not sign tenancy or investment agreements through this workbench.</w:t>
        <w:br/>
        <w:t>https://www.teknoparkistanbul.com.tr/en/office-allocation</w:t>
      </w:r>
    </w:p>
    <w:p>
      <w:r>
        <w:t>ODTÜ TEKNOKENT — entrepreneurship / incubation</w:t>
        <w:br/>
        <w:t>Ask the entrepreneurship office about pre-incubation before creating a company or filing a tenancy application. The institutional page still contains an older 1512 description; use current TÜBİTAK 1812 call documents for investment rules. Do not reuse old fees or deadlines.</w:t>
        <w:br/>
        <w:t>https://odtuteknokent.com.tr/tr/programlar/girisimcilik</w:t>
      </w:r>
    </w:p>
    <w:p>
      <w:r>
        <w:t>Antalya Teknokent — Caretta / TTO inquiry</w:t>
        <w:br/>
        <w:t>An institutional route to the university-linked TTO / pre-incubation team. The displayed IdeaCARE call is from 2022/2023 and has inconsistent dates: it is not presented as open. Request the current cohort, eligibility and application form before preparing a submission.</w:t>
        <w:br/>
        <w:t>https://www.antalyateknokent.com.tr/tr/hizlandirma-programi-basvurulari/caretta-on-kulucka-yaratici-ve-yenilikci-fikir-gelistirme-programi.html</w:t>
      </w:r>
    </w:p>
    <w:p>
      <w:r>
        <w:t>Koç University KWORKS — pre-acceleration inquiry</w:t>
        <w:br/>
        <w:t>The official pre-acceleration page describes idea-stage / early R&amp;D support, but refers to older cohorts. Request the current intake and criteria. This is an incubation/acceleration route, not proof of technopark-zone admission or tax eligibility.</w:t>
        <w:br/>
        <w:t>https://kworks.ku.edu.tr/on-hizlandirma-programi/</w:t>
      </w:r>
    </w:p>
    <w:p>
      <w:r>
        <w:t>TÜBİTAK 1812 — BiGG investment / next Phase 2</w:t>
        <w:br/>
        <w:t>The reviewed 2026-2 Phase 2 call closed on 30 September 2026. It offered TRY 1,350,000 for 3% equity, not a grant. Start with Phase 1 and confirm the next call. University enrollment/graduation, foreign-education recognition/equivalence documents, prior support and shareholdings at acceleration admission must be checked. Company formation occurs at the specified later investment stage, not automatically after two days.</w:t>
        <w:br/>
        <w:t>https://tubitak.gov.tr/tr/destekler/destek/sanayi/ulusal-destek-programlari/cagri-bigg-yatirim-programi-2026-2-cagrisi-acildi</w:t>
      </w:r>
    </w:p>
    <w:p>
      <w:r>
        <w:t>TÜBİTAK 1507 — SME R&amp;D Startup Grant, 2026/2</w:t>
        <w:br/>
        <w:t>A company-level R&amp;D grant call, not direct funding for an unincorporated idea. The official 2026/2 announcement gives 9 November pre-registration and 11 November full-submission deadlines. Confirm Turkish SME capital-company eligibility, R&amp;D work packages, own contribution and current call rules before considering an application.</w:t>
        <w:br/>
        <w:t>https://tubitak.gov.tr/en/announcement/1501-industrial-rd-projects-grant-programme-and-1507-sme-rd-startup-grant-programme-2nd-calls-2026-open-applications</w:t>
      </w:r>
    </w:p>
    <w:p>
      <w:r>
        <w:t>TÜBİTAK 1501 — Industrial R&amp;D Grant, 2026/2</w:t>
        <w:br/>
        <w:t>Later-stage route for an eligible company with a substantiated industrial R&amp;D project. The official announcement gives 22 October pre-registration and 26 October full-submission deadlines. Do not form a company merely to chase a deadline before checking the effect on BiGG eligibility and your legal / financial commitments.</w:t>
        <w:br/>
        <w:t>https://tubitak.gov.tr/en/announcement/1501-industrial-rd-projects-grant-programme-and-1507-sme-rd-startup-grant-programme-2nd-calls-2026-open-applications</w:t>
      </w:r>
    </w:p>
    <w:p>
      <w:r>
        <w:t>TÜBİTAK 1505 — University–Industry Collaboration</w:t>
        <w:br/>
        <w:t>The official FAQ describes a joint executing research institution and customer company. For GreenRoot now, first identify a willing academic team and an eligible commercial partner; this is not a university-only or individual startup grant. The FAQ is dated 2022: confirm current budgets, agreement and application rules rather than quoting old limits.</w:t>
        <w:br/>
        <w:t>https://tubitak.gov.tr/sites/default/files/21566/1505_sss_220207.pdf</w:t>
      </w:r>
    </w:p>
    <w:p>
      <w:r>
        <w:t>KOSGEB — Business Development Support</w:t>
        <w:br/>
        <w:t>The official 2026 second-period announcement describes repayable business-development support and an April–May window that has passed. This is not presented as an open, non-repayable grant. Confirm the current call, company age, eligible activity / NACE code, entrepreneurship training and repayment / guarantee terms. A social green-work service is not automatically an eligible R&amp;D/software business.</w:t>
        <w:br/>
        <w:t>https://www.kosgeb.gov.tr/site/tr/genel/detay/9374/girisimci-destek-programi-is-gelistirme-cagrisi-2026-yili-2-donem-basvurulari-basladi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GREENROOT / APPLICATION PREPARATION · DRAFT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