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GreenRoot — Aday başvuru dosyası</w:t>
      </w:r>
    </w:p>
    <w:p>
      <w:pPr>
        <w:pStyle w:val="Heading1"/>
      </w:pPr>
      <w:r>
        <w:t>Durum ve amaç</w:t>
      </w:r>
    </w:p>
    <w:p>
      <w:r>
        <w:t>TASLAK — fikir aşamasındaki ekip, kayıtlı şirket yok. Uygunluk / ön kuluçka görüşmesi için hazırlanmıştır; kabul, tescil, klinik sonuç, ortak taahhüdü veya fon kanıtı değildir. Kaynak incelemesi: 11 Ekim 2026.</w:t>
      </w:r>
    </w:p>
    <w:p>
      <w:pPr>
        <w:pStyle w:val="Heading1"/>
      </w:pPr>
      <w:r>
        <w:t>1. Proje ve talep</w:t>
      </w:r>
    </w:p>
    <w:p>
      <w:r>
        <w:t>Proje: GreenRoot. Başvuran/ekip: [doldurun]. İkamet ve planlanan kuruluş ülkesi: [doldurun]. Üniversite bağı/eğitim belgesi: [bilinmiyor; teyit]. Program, güncel çağrı ve tarih: [resmi kaynaktan]. Tek açık görüşme talebi: [doldurun].</w:t>
      </w:r>
    </w:p>
    <w:p>
      <w:pPr>
        <w:pStyle w:val="Heading1"/>
      </w:pPr>
      <w:r>
        <w:t>2. Sorun, kullanıcı ve ödeyen</w:t>
      </w:r>
    </w:p>
    <w:p>
      <w:r>
        <w:t>Yetişkin hedef grup, iş engelleri ve atık akışını kişileri tanımlamadan açıklayın. Katılımcı, müşteri, alıcı ve sponsor/ödeyeni ayırın. İhtiyaç görüşmeleri bilgilendirilmiş onayla yapılır; uydurma alıntı yok.</w:t>
      </w:r>
    </w:p>
    <w:p>
      <w:pPr>
        <w:pStyle w:val="Heading1"/>
      </w:pPr>
      <w:r>
        <w:t>3. Önerilen GreenRoot modeli</w:t>
      </w:r>
    </w:p>
    <w:p>
      <w:r>
        <w:t>Gönüllü yasal ücretli yeşil iş; bağımsız lisanslı tedavi; geri dönüşüm geliri tedavi giderlerini destekleyebilir. Ayrı tıbbi malzeme araştırma yolu lisanslı üretim, malzeme/kalite testi ve mevzuat onayı gerektirir. Tedavi etkisi veya tıbbi ürün güvenliği iddiası yok.</w:t>
      </w:r>
    </w:p>
    <w:p>
      <w:pPr>
        <w:pStyle w:val="Heading1"/>
      </w:pPr>
      <w:r>
        <w:t>4. Teknoloji / Ar-Ge hipotezi</w:t>
      </w:r>
    </w:p>
    <w:p>
      <w:r>
        <w:t>Gerçek bir teknik soru seçin: sorumlu çok dilli istihdam yönlendirmesi, mahremiyet koruyan akış/sonuç takibi veya lisanslı döngüsel malzeme kalitesi araştırması. Teknik belirsizlik, mevcut ürüne göre yenilik, test ve başarı/başarısızlık ölçütlerini yazın. Statik site veya sosyal amaç tek başına Ar-Ge kanıtı değildir. THS: [bilinmiyor; gerçek kanıt].</w:t>
      </w:r>
    </w:p>
    <w:p>
      <w:pPr>
        <w:pStyle w:val="Heading1"/>
      </w:pPr>
      <w:r>
        <w:t>5. Prototip ve doğrulama</w:t>
      </w:r>
    </w:p>
    <w:p>
      <w:r>
        <w:t>Mevcut: fikir sitesi, kural tabanlı Raha demosu ve kurumsal kaynaklı iletişim rehberi. Diğer gerçek prototip/sonuçları ayrı kaydedin. Örnek etki verileri demodur; gerçekleşmiş sonuç diye sunulmaz. Kanıt/ekler: [doldurun].</w:t>
      </w:r>
    </w:p>
    <w:p>
      <w:pPr>
        <w:pStyle w:val="Heading1"/>
      </w:pPr>
      <w:r>
        <w:t>6. Ekip ve akademik yol</w:t>
      </w:r>
    </w:p>
    <w:p>
      <w:r>
        <w:t>Rol, beceri, zaman ve eksikler: [doldurun]. Mentor/laboratuvar/klinik/üretim ortağı: [yazılı kanıt yoksa anlaşılmadı]. Eğitim, yabancı eğitim YÖK tanıma/denklik, ikamet ve çalışma izinleri: [gerçek programla teyit]. Kimlik belgesi herkese açık siteye yüklenmez.</w:t>
      </w:r>
    </w:p>
    <w:p>
      <w:pPr>
        <w:pStyle w:val="Heading1"/>
      </w:pPr>
      <w:r>
        <w:t>7. İş paketleri ve takvim</w:t>
      </w:r>
    </w:p>
    <w:p>
      <w:r>
        <w:t>İP1 ihtiyaç/pazar; İP2 prototip/teknik test; İP3 güvenlik ve bağımsız etik/mevzuat; İP4 küçük pilot/değerlendirme; İP5 ticari/operasyonel doğrulama. Tarih ve sorumlu: [doldurun]. Klinik çalışma, site onayı değil yetkin gözetim ve gereken izinleri ister.</w:t>
      </w:r>
    </w:p>
    <w:p>
      <w:pPr>
        <w:pStyle w:val="Heading1"/>
      </w:pPr>
      <w:r>
        <w:t>8. Bütçe ve finansman</w:t>
      </w:r>
    </w:p>
    <w:p>
      <w:r>
        <w:t>Maliyetler tekliflerle doldurulacak boşluklardır; örnek sayı mali gerçek değildir. Öz katkı, nakit zamanlaması, uygun gider ve fon açığını ayırın. Hibe, pay yatırımı ve geri ödeme farklıdır. Sırf süreye yetişmek için borç, şirket veya pay devri yapmayın.</w:t>
      </w:r>
    </w:p>
    <w:p>
      <w:pPr>
        <w:pStyle w:val="Heading1"/>
      </w:pPr>
      <w:r>
        <w:t>9. Güvenlik, etik ve mahremiyet</w:t>
      </w:r>
    </w:p>
    <w:p>
      <w:r>
        <w:t>Yetişkin iş planı; gerçek ücret/sözleşme/sigorta; tehlikesiz atık ve profesyonel güvenlik; bakım iş çıktısından bağımsız; klinik lisans; asgari veri ve onay; sağlık/iş kayıtları ayrı. Hasta/kimlik kayıtları veya anahtarlar kamu deposu/hatırlatma hizmetine konmaz.</w:t>
      </w:r>
    </w:p>
    <w:p>
      <w:pPr>
        <w:pStyle w:val="Heading1"/>
      </w:pPr>
      <w:r>
        <w:t>10. Başvuru koşulları</w:t>
      </w:r>
    </w:p>
    <w:p>
      <w:r>
        <w:t>Ön kuluçka, teknopark yerleşimi, tescil ve yatırım ayrıdır. Güncel kabul, teknoloji, ücret, eğitim, önceki destek, ortaklık zamanı ve yabancı kurucu koşullarını kontrol edin. BiGG için güncel kuruluş/PRODİS; şirket hibeleri için şirket koşulları. Makbuz yalnız gerçek gönderimden sonra.</w:t>
      </w:r>
    </w:p>
    <w:p>
      <w:pPr>
        <w:pStyle w:val="Heading1"/>
      </w:pPr>
      <w:r>
        <w:t>11. İletişim ve sonraki adım</w:t>
      </w:r>
    </w:p>
    <w:p>
      <w:r>
        <w:t>Resmi kaynaktan bir yol ve kurumsal ofis seçin. Alıcıya özel tanıtımı düzenleyin. Gerçek gönderiminizden sonra +2 gün yanıt kontrolü; yanıt yoksa bir sonraki nazik takip; ret varsa durun. Gerçek e-posta için yapılandırılmış gönderen ve doğrulanmış adres gerekir.</w:t>
      </w:r>
    </w:p>
    <w:p>
      <w:pPr>
        <w:pStyle w:val="Heading1"/>
      </w:pPr>
      <w:r>
        <w:t>12. Gönderim öncesi onay</w:t>
      </w:r>
    </w:p>
    <w:p>
      <w:r>
        <w:t>Başvuran incelemesi: [yapılmadı]. Program uygunluğu: [teyit edilmedi]. Gereken hukuki, mali ve klinik inceleme: [yapılmadı]. İmza, tescil, ücret veya pay sözleşmesi: [yetki verilmedi].</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İş paketi / maliyet</w:t>
            </w:r>
          </w:p>
        </w:tc>
        <w:tc>
          <w:tcPr>
            <w:tcW w:type="dxa" w:w="2160"/>
          </w:tcPr>
          <w:p>
            <w:r>
              <w:t>Teklif temeli</w:t>
            </w:r>
          </w:p>
        </w:tc>
        <w:tc>
          <w:tcPr>
            <w:tcW w:type="dxa" w:w="2160"/>
          </w:tcPr>
          <w:p>
            <w:r>
              <w:t>Tutar / para birimi</w:t>
            </w:r>
          </w:p>
        </w:tc>
        <w:tc>
          <w:tcPr>
            <w:tcW w:type="dxa" w:w="2160"/>
          </w:tcPr>
          <w:p>
            <w:r>
              <w:t>Uygunluk / öz katkı</w:t>
            </w:r>
          </w:p>
        </w:tc>
      </w:tr>
      <w:tr>
        <w:tc>
          <w:tcPr>
            <w:tcW w:type="dxa" w:w="2160"/>
          </w:tcPr>
          <w:p>
            <w:r>
              <w:t>Araştırma / prototip</w:t>
            </w:r>
          </w:p>
        </w:tc>
        <w:tc>
          <w:tcPr>
            <w:tcW w:type="dxa" w:w="2160"/>
          </w:tcPr>
          <w:p>
            <w:r>
              <w:t>[doldurun]</w:t>
            </w:r>
          </w:p>
        </w:tc>
        <w:tc>
          <w:tcPr>
            <w:tcW w:type="dxa" w:w="2160"/>
          </w:tcPr>
          <w:p>
            <w:r>
              <w:t>[doldurun]</w:t>
            </w:r>
          </w:p>
        </w:tc>
        <w:tc>
          <w:tcPr>
            <w:tcW w:type="dxa" w:w="2160"/>
          </w:tcPr>
          <w:p>
            <w:r>
              <w:t>[doldurun]</w:t>
            </w:r>
          </w:p>
        </w:tc>
      </w:tr>
      <w:tr>
        <w:tc>
          <w:tcPr>
            <w:tcW w:type="dxa" w:w="2160"/>
          </w:tcPr>
          <w:p>
            <w:r>
              <w:t>Güvenlik / sigorta</w:t>
            </w:r>
          </w:p>
        </w:tc>
        <w:tc>
          <w:tcPr>
            <w:tcW w:type="dxa" w:w="2160"/>
          </w:tcPr>
          <w:p>
            <w:r>
              <w:t>[doldurun]</w:t>
            </w:r>
          </w:p>
        </w:tc>
        <w:tc>
          <w:tcPr>
            <w:tcW w:type="dxa" w:w="2160"/>
          </w:tcPr>
          <w:p>
            <w:r>
              <w:t>[doldurun]</w:t>
            </w:r>
          </w:p>
        </w:tc>
        <w:tc>
          <w:tcPr>
            <w:tcW w:type="dxa" w:w="2160"/>
          </w:tcPr>
          <w:p>
            <w:r>
              <w:t>[doldurun]</w:t>
            </w:r>
          </w:p>
        </w:tc>
      </w:tr>
      <w:tr>
        <w:tc>
          <w:tcPr>
            <w:tcW w:type="dxa" w:w="2160"/>
          </w:tcPr>
          <w:p>
            <w:r>
              <w:t>Lisanslı ortak / kalite</w:t>
            </w:r>
          </w:p>
        </w:tc>
        <w:tc>
          <w:tcPr>
            <w:tcW w:type="dxa" w:w="2160"/>
          </w:tcPr>
          <w:p>
            <w:r>
              <w:t>[doldurun]</w:t>
            </w:r>
          </w:p>
        </w:tc>
        <w:tc>
          <w:tcPr>
            <w:tcW w:type="dxa" w:w="2160"/>
          </w:tcPr>
          <w:p>
            <w:r>
              <w:t>[doldurun]</w:t>
            </w:r>
          </w:p>
        </w:tc>
        <w:tc>
          <w:tcPr>
            <w:tcW w:type="dxa" w:w="2160"/>
          </w:tcPr>
          <w:p>
            <w:r>
              <w:t>[doldurun]</w:t>
            </w:r>
          </w:p>
        </w:tc>
      </w:tr>
      <w:tr>
        <w:tc>
          <w:tcPr>
            <w:tcW w:type="dxa" w:w="2160"/>
          </w:tcPr>
          <w:p>
            <w:r>
              <w:t>Personel / gerçek ücret</w:t>
            </w:r>
          </w:p>
        </w:tc>
        <w:tc>
          <w:tcPr>
            <w:tcW w:type="dxa" w:w="2160"/>
          </w:tcPr>
          <w:p>
            <w:r>
              <w:t>[doldurun]</w:t>
            </w:r>
          </w:p>
        </w:tc>
        <w:tc>
          <w:tcPr>
            <w:tcW w:type="dxa" w:w="2160"/>
          </w:tcPr>
          <w:p>
            <w:r>
              <w:t>[doldurun]</w:t>
            </w:r>
          </w:p>
        </w:tc>
        <w:tc>
          <w:tcPr>
            <w:tcW w:type="dxa" w:w="2160"/>
          </w:tcPr>
          <w:p>
            <w:r>
              <w:t>[doldurun]</w:t>
            </w:r>
          </w:p>
        </w:tc>
      </w:tr>
      <w:tr>
        <w:tc>
          <w:tcPr>
            <w:tcW w:type="dxa" w:w="2160"/>
          </w:tcPr>
          <w:p>
            <w:r>
              <w:t>Hukuki / başvuru gideri</w:t>
            </w:r>
          </w:p>
        </w:tc>
        <w:tc>
          <w:tcPr>
            <w:tcW w:type="dxa" w:w="2160"/>
          </w:tcPr>
          <w:p>
            <w:r>
              <w:t>[doldurun]</w:t>
            </w:r>
          </w:p>
        </w:tc>
        <w:tc>
          <w:tcPr>
            <w:tcW w:type="dxa" w:w="2160"/>
          </w:tcPr>
          <w:p>
            <w:r>
              <w:t>[doldurun]</w:t>
            </w:r>
          </w:p>
        </w:tc>
        <w:tc>
          <w:tcPr>
            <w:tcW w:type="dxa" w:w="2160"/>
          </w:tcPr>
          <w:p>
            <w:r>
              <w:t>[doldurun]</w:t>
            </w:r>
          </w:p>
        </w:tc>
      </w:tr>
    </w:tbl>
    <w:p>
      <w:pPr>
        <w:pStyle w:val="Heading1"/>
      </w:pPr>
      <w:r>
        <w:t>Kaynaklı yollar — güncel kuralları teyit edin</w:t>
      </w:r>
    </w:p>
    <w:p>
      <w:r>
        <w:t>İTÜ Çekirdek — BiGG 2027-1 intake</w:t>
        <w:br/>
        <w:t>Önce fikir aşaması uygunluğu ve güncel hızlandırma kabulünü sorun. Bu uygulayıcı kuruluşun Aşama 1 kabulüdür; doğrudan TÜBİTAK Aşama 2 yatırım kararı değildir. Eğitim, önceki destek ve ortaklık koşulları kontrol edilmelidir.</w:t>
        <w:br/>
        <w:t>https://basvuru.itucekirdek.com/tr/discover/3/bigg</w:t>
      </w:r>
    </w:p>
    <w:p>
      <w:r>
        <w:t>İTÜ Çekirdek — Climate &amp; Clean Technologies 2027</w:t>
        <w:br/>
        <w:t>Test edilebilir döngüsel ekonomi veya sorumlu yazılım projesi için kuluçka seçeneğini inceleyin. Bağlantılı liste 3 Ocak 2027 tarihini gösterir; doğru formu ve dönem koşullarını doğrulayın. Sosyal etki tek başına teknolojik yenilik kanıtı değildir.</w:t>
        <w:br/>
        <w:t>https://basvuru.itucekirdek.com/tr/basvurular</w:t>
      </w:r>
    </w:p>
    <w:p>
      <w:r>
        <w:t>Boğaziçi University — Technology Transfer Office</w:t>
        <w:br/>
        <w:t>Yayımlanan girişimcilik ofisi adresinden uygunluk görüşmesi, araştırma mentoru veya doğru kuluçka yönlendirmesini isteyin. Dış ekiplerin kabulü ve üniversite bağı şartı teyit edilmelidir; iletişim sayfası açık fon çağrısı değildir.</w:t>
        <w:br/>
        <w:t>https://tto.boun.edu.tr/tr/content/iletisim-ulasim</w:t>
      </w:r>
    </w:p>
    <w:p>
      <w:r>
        <w:t>YTU Startup House — Yıldız Teknopark</w:t>
        <w:br/>
        <w:t>Resmi sayfa akademik kuluçka, ön kuluçka ve kuluçkayı tanımlar. Şirketleşmemiş ekip için güncel ön kuluçka yolunu sorun. Genel teknopark yerleşim formu farklı bir süreçtir; güncel ücretler, koşullar ve kabul teyit edilmelidir.</w:t>
        <w:br/>
        <w:t>https://www.yildizteknopark.com.tr/yildizli-markalarimiz/ytu-startup-house.html</w:t>
      </w:r>
    </w:p>
    <w:p>
      <w:r>
        <w:t>Teknopark İstanbul — Cube Incubation</w:t>
        <w:br/>
        <w:t>Resmi sayfa girişimcileri, ofis tahsisi ve kira imzasından ayrı olarak Cube Incubation'a yönlendirir. Güncel kabulü, teknik odağı ve koşulları teyit edin. Bu çalışma alanı kira veya yatırım sözleşmesi imzalamaz.</w:t>
        <w:br/>
        <w:t>https://www.teknoparkistanbul.com.tr/en/office-allocation</w:t>
      </w:r>
    </w:p>
    <w:p>
      <w:r>
        <w:t>ODTÜ TEKNOKENT — entrepreneurship / incubation</w:t>
        <w:br/>
        <w:t>Şirket kurmadan veya yerleşim başvurusu yapmadan önce girişimcilik ofisinden ön kuluçkayı sorun. Kurumsal sayfada eski 1512 açıklaması bulunur; yatırım koşulları için güncel TÜBİTAK 1812 belgesini kullanın. Eski ücret ve tarihleri kullanmayın.</w:t>
        <w:br/>
        <w:t>https://odtuteknokent.com.tr/tr/programlar/girisimcilik</w:t>
      </w:r>
    </w:p>
    <w:p>
      <w:r>
        <w:t>Antalya Teknokent — Caretta / TTO inquiry</w:t>
        <w:br/>
        <w:t>Üniversite bağlantılı TTO ve ön kuluçka ekibine ulaşma yoludur. Gösterilen IdeaCARE çağrısı 2022/2023'e aittir ve tutarsız tarihler içerir; açık çağrı olarak sunulmaz. Önce güncel dönemi, koşulları ve formu isteyin.</w:t>
        <w:br/>
        <w:t>https://www.antalyateknokent.com.tr/tr/hizlandirma-programi-basvurulari/caretta-on-kulucka-yaratici-ve-yenilikci-fikir-gelistirme-programi.html</w:t>
      </w:r>
    </w:p>
    <w:p>
      <w:r>
        <w:t>Koç University KWORKS — pre-acceleration inquiry</w:t>
        <w:br/>
        <w:t>Resmi ön hızlandırma sayfası fikir / erken Ar-Ge desteğini açıklar ancak eski dönemlere atıf yapar. Güncel kabul ve ölçütleri sorun. Bu, teknopark bölgesine kabul veya vergi muafiyeti kanıtı değil, kuluçka/hızlandırma yoludur.</w:t>
        <w:br/>
        <w:t>https://kworks.ku.edu.tr/on-hizlandirma-programi/</w:t>
      </w:r>
    </w:p>
    <w:p>
      <w:r>
        <w:t>TÜBİTAK 1812 — BiGG investment / next Phase 2</w:t>
        <w:br/>
        <w:t>İncelenen 2026-2 Aşama 2 çağrısı 30 Eylül 2026'da kapandı; 1.350.000 TL karşılığında %3 pay öngörüyordu, hibe değildi. Aşama 1'den başlayın ve sonraki çağrıyı teyit edin. Eğitim, yabancı eğitim tanıma/denklik belgeleri, önceki destek ve hızlandırmaya kabulde ortaklık durumu kontrol edilmelidir. Şirketleşme ilgili sonraki yatırım aşamasında yapılır; iki gün sonra otomatik yapılmaz.</w:t>
        <w:br/>
        <w:t>https://tubitak.gov.tr/tr/destekler/destek/sanayi/ulusal-destek-programlari/cagri-bigg-yatirim-programi-2026-2-cagrisi-acildi</w:t>
      </w:r>
    </w:p>
    <w:p>
      <w:r>
        <w:t>TÜBİTAK 1507 — SME R&amp;D Startup Grant, 2026/2</w:t>
        <w:br/>
        <w:t>Şirket düzeyinde Ar-Ge hibe çağrısıdır; şirketleşmemiş fikre doğrudan fon değildir. Resmi 2026/2 duyurusu ön kayıt için 9 Kasım, tam başvuru için 11 Kasım tarihlerini verir. Türkiye'de KOBİ sermaye şirketi uygunluğu, Ar-Ge iş paketleri, öz katkı ve güncel kurallar doğrulanmalıdır.</w:t>
        <w:br/>
        <w:t>https://tubitak.gov.tr/en/announcement/1501-industrial-rd-projects-grant-programme-and-1507-sme-rd-startup-grant-programme-2nd-calls-2026-open-applications</w:t>
      </w:r>
    </w:p>
    <w:p>
      <w:r>
        <w:t>TÜBİTAK 1501 — Industrial R&amp;D Grant, 2026/2</w:t>
        <w:br/>
        <w:t>Doğrulanmış endüstriyel Ar-Ge projesi olan uygun şirket için sonraki aşama yoludur. Resmi duyuru ön kayıt için 22 Ekim, tam başvuru için 26 Ekim tarihlerini verir. BiGG uygunluğuna ve hukuki / mali yükümlülüklere etkisini incelemeden sırf süreye yetişmek için şirket kurmayın.</w:t>
        <w:br/>
        <w:t>https://tubitak.gov.tr/en/announcement/1501-industrial-rd-projects-grant-programme-and-1507-sme-rd-startup-grant-programme-2nd-calls-2026-open-applications</w:t>
      </w:r>
    </w:p>
    <w:p>
      <w:r>
        <w:t>TÜBİTAK 1505 — University–Industry Collaboration</w:t>
        <w:br/>
        <w:t>Resmi SSS, yürütücü araştırma kurumu ve müşteri şirketin ortak başvurusunu açıklar. Önce istekli akademik ekip ve uygun ticari ortak bulun; yalnız üniversiteye veya bireye yönelik girişim hibesi değildir. SSS 2022 tarihlidir; eski limitleri kullanmak yerine güncel bütçe, sözleşme ve kuralları teyit edin.</w:t>
        <w:br/>
        <w:t>https://tubitak.gov.tr/sites/default/files/21566/1505_sss_220207.pdf</w:t>
      </w:r>
    </w:p>
    <w:p>
      <w:r>
        <w:t>KOSGEB — Business Development Support</w:t>
        <w:br/>
        <w:t>Resmi 2026 ikinci dönem duyurusu geri ödemeli iş geliştirme desteği ve geçmiş Nisan–Mayıs dönemini açıklar. Açık ve geri ödemesiz hibe olarak sunulmaz. Güncel çağrı, şirket yaşı, uygun faaliyet / NACE, girişimcilik eğitimi ve geri ödeme / teminat koşullarını teyit edin. Sosyal yeşil iş hizmeti otomatik olarak uygun Ar-Ge/yazılım işletmesi değildir.</w:t>
        <w:br/>
        <w:t>https://www.kosgeb.gov.tr/site/tr/genel/detay/9374/girisimci-destek-programi-is-gelistirme-cagrisi-2026-yili-2-donem-basvurulari-basladi</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GREENROOT / APPLICATION PREPARATION ·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